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8A0C" w14:textId="77777777" w:rsidR="00FF659E" w:rsidRPr="00C03F66" w:rsidRDefault="00C03F66" w:rsidP="00C03F6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3F66">
        <w:rPr>
          <w:rFonts w:ascii="Times New Roman" w:hAnsi="Times New Roman" w:cs="Times New Roman"/>
          <w:b/>
        </w:rPr>
        <w:t>Allegato A</w:t>
      </w:r>
      <w:r w:rsidR="00194743">
        <w:rPr>
          <w:rFonts w:ascii="Times New Roman" w:hAnsi="Times New Roman" w:cs="Times New Roman"/>
          <w:b/>
        </w:rPr>
        <w:t>1</w:t>
      </w:r>
    </w:p>
    <w:p w14:paraId="7867ACEC" w14:textId="77777777" w:rsidR="00C03F66" w:rsidRDefault="00C03F66" w:rsidP="00C03F66">
      <w:pPr>
        <w:spacing w:after="0" w:line="240" w:lineRule="auto"/>
        <w:rPr>
          <w:rFonts w:ascii="Times New Roman" w:hAnsi="Times New Roman" w:cs="Times New Roman"/>
        </w:rPr>
      </w:pPr>
    </w:p>
    <w:p w14:paraId="3C61CD46" w14:textId="77777777" w:rsidR="00237BEC" w:rsidRPr="00237BEC" w:rsidRDefault="00237BEC" w:rsidP="00237BEC">
      <w:pPr>
        <w:spacing w:after="0" w:line="240" w:lineRule="auto"/>
        <w:jc w:val="center"/>
        <w:rPr>
          <w:rFonts w:ascii="Times New Roman" w:hAnsi="Times New Roman" w:cs="Times New Roman"/>
          <w:b/>
          <w:color w:val="202020"/>
        </w:rPr>
      </w:pPr>
      <w:r w:rsidRPr="00237BEC">
        <w:rPr>
          <w:rFonts w:ascii="Times New Roman" w:hAnsi="Times New Roman" w:cs="Times New Roman"/>
          <w:b/>
          <w:color w:val="202020"/>
        </w:rPr>
        <w:t>AGENZIA REGIONALE SANITARIA</w:t>
      </w:r>
    </w:p>
    <w:p w14:paraId="0F0CD3DE" w14:textId="77777777" w:rsidR="00237BEC" w:rsidRDefault="00237BEC" w:rsidP="00C03F66">
      <w:pPr>
        <w:spacing w:after="0" w:line="240" w:lineRule="auto"/>
        <w:rPr>
          <w:rFonts w:ascii="Times New Roman" w:hAnsi="Times New Roman" w:cs="Times New Roman"/>
        </w:rPr>
      </w:pPr>
    </w:p>
    <w:p w14:paraId="7A28B287" w14:textId="77777777" w:rsidR="00237BEC" w:rsidRPr="00C03F66" w:rsidRDefault="00237BEC" w:rsidP="00CB251C">
      <w:pPr>
        <w:spacing w:after="0" w:line="240" w:lineRule="auto"/>
        <w:rPr>
          <w:rFonts w:ascii="Times New Roman" w:hAnsi="Times New Roman" w:cs="Times New Roman"/>
        </w:rPr>
      </w:pPr>
    </w:p>
    <w:p w14:paraId="0655DECE" w14:textId="77777777" w:rsidR="00194743" w:rsidRPr="00194743" w:rsidRDefault="00194743" w:rsidP="00194743">
      <w:pPr>
        <w:spacing w:after="0" w:line="240" w:lineRule="auto"/>
        <w:rPr>
          <w:rFonts w:ascii="Times New Roman" w:hAnsi="Times New Roman" w:cs="Times New Roman"/>
          <w:b/>
          <w:color w:val="202020"/>
        </w:rPr>
      </w:pPr>
      <w:r w:rsidRPr="00194743">
        <w:rPr>
          <w:rFonts w:ascii="Times New Roman" w:hAnsi="Times New Roman" w:cs="Times New Roman"/>
          <w:b/>
          <w:color w:val="202020"/>
        </w:rPr>
        <w:t xml:space="preserve">Declaratorie delle competenze di ciascun settore </w:t>
      </w:r>
    </w:p>
    <w:p w14:paraId="27513EC2" w14:textId="77777777" w:rsidR="00A14513" w:rsidRPr="007A7795" w:rsidRDefault="00A14513" w:rsidP="00A14513">
      <w:pPr>
        <w:rPr>
          <w:rFonts w:ascii="Times New Roman" w:hAnsi="Times New Roman" w:cs="Times New Roman"/>
          <w:color w:val="FF0000"/>
        </w:rPr>
      </w:pPr>
    </w:p>
    <w:p w14:paraId="72E15B9C" w14:textId="77777777" w:rsidR="00A14513" w:rsidRPr="007A7795" w:rsidRDefault="00A14513" w:rsidP="00A14513">
      <w:pPr>
        <w:jc w:val="both"/>
        <w:rPr>
          <w:rStyle w:val="FontStyle12"/>
          <w:b/>
          <w:sz w:val="22"/>
          <w:szCs w:val="22"/>
          <w:u w:val="single"/>
        </w:rPr>
      </w:pPr>
      <w:r w:rsidRPr="007A7795">
        <w:rPr>
          <w:rStyle w:val="FontStyle12"/>
          <w:b/>
          <w:sz w:val="22"/>
          <w:szCs w:val="22"/>
          <w:u w:val="single"/>
        </w:rPr>
        <w:t>Settore: Affari generali ARS</w:t>
      </w:r>
    </w:p>
    <w:p w14:paraId="4A846648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Supporto giuridico amministrativo alla Direzione dell'ARS nella predisposizione degli atti. </w:t>
      </w:r>
    </w:p>
    <w:p w14:paraId="5454C6AD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Coordinamento, istruttoria e redazione di accordi quadro, protocolli d’intesa e convenzioni.</w:t>
      </w:r>
    </w:p>
    <w:p w14:paraId="5356B19D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Organizzazione e gestione del personale e delle risorse finanziarie e strumentali assegnate alla stessa ARS.</w:t>
      </w:r>
    </w:p>
    <w:p w14:paraId="3FE8BAE9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Protocollo, repertorio e conservazione atti e documenti.</w:t>
      </w:r>
    </w:p>
    <w:p w14:paraId="5E57658B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Supporto alla Direzione nelle attività di tutela della salute e sicurezza nei luoghi di lavoro.</w:t>
      </w:r>
    </w:p>
    <w:p w14:paraId="59DF6AB9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Supporto alle attività di competenza del Responsabile per la Protezione dei Dati (DPO). </w:t>
      </w:r>
    </w:p>
    <w:p w14:paraId="6B0E2441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Bilancio, contabilità, controllo di gestione, riconciliazione conto annuale, supporto alla contabilità finanziaria.</w:t>
      </w:r>
    </w:p>
    <w:p w14:paraId="1891C4C8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Provveditorato, gare e contratti. Attività economale. Supporto alle strutture interessate per procedure di acquisto beni e servizi espletate direttamente. Gestione patrimonio.</w:t>
      </w:r>
    </w:p>
    <w:p w14:paraId="2B36E72D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Individuazione delle azioni e delle iniziative a supporto della Centralità del cittadino, partecipazione e carta dei servizi. </w:t>
      </w:r>
    </w:p>
    <w:p w14:paraId="744F7DDD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Sviluppo e attuazione delle azioni di prevenzione della corruzione e programmazione attività atte a garantire la trasparenza e l’integrità. </w:t>
      </w:r>
    </w:p>
    <w:p w14:paraId="289C834B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Adempimenti LEA e altri adempimenti nazionali e regionali nelle materie di competenza</w:t>
      </w:r>
    </w:p>
    <w:p w14:paraId="17659F67" w14:textId="77777777" w:rsidR="00A14513" w:rsidRPr="007A7795" w:rsidRDefault="00A14513" w:rsidP="007A7795">
      <w:pPr>
        <w:rPr>
          <w:rFonts w:ascii="Times New Roman" w:hAnsi="Times New Roman" w:cs="Times New Roman"/>
          <w:color w:val="FF0000"/>
        </w:rPr>
      </w:pPr>
    </w:p>
    <w:p w14:paraId="30A0ED03" w14:textId="77777777" w:rsidR="00A14513" w:rsidRPr="007A7795" w:rsidRDefault="00A14513" w:rsidP="00A14513">
      <w:pPr>
        <w:jc w:val="both"/>
        <w:rPr>
          <w:rStyle w:val="FontStyle12"/>
          <w:b/>
          <w:sz w:val="22"/>
          <w:szCs w:val="22"/>
          <w:u w:val="single"/>
        </w:rPr>
      </w:pPr>
      <w:r w:rsidRPr="007A7795">
        <w:rPr>
          <w:rStyle w:val="FontStyle12"/>
          <w:b/>
          <w:sz w:val="22"/>
          <w:szCs w:val="22"/>
          <w:u w:val="single"/>
        </w:rPr>
        <w:t xml:space="preserve">Settore: Flussi informativi sanitari e monitoraggio SSR </w:t>
      </w:r>
    </w:p>
    <w:p w14:paraId="28B16794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Raccolta, verifica ed elaborazione flussi informativi. </w:t>
      </w:r>
    </w:p>
    <w:p w14:paraId="38DF6A4A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Gestione ed elaborazione contenuti ed indicatori dell'archivio regionale dei dati e delle informazioni di interesse sanitario a supporto della programmazione sanitaria regionale. </w:t>
      </w:r>
    </w:p>
    <w:p w14:paraId="6DFD6455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Metodologie per le attività di analisi, valutazione e monitoraggio dei bisogni, della domanda e dell'offerta delle prestazioni sanitarie e delle risorse correlate a supporto della programmazione sanitaria regionale nonché per la definizione dei costi standard. </w:t>
      </w:r>
    </w:p>
    <w:p w14:paraId="2CFF0DB6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Monitoraggio dell’erogazione dei LEA. </w:t>
      </w:r>
    </w:p>
    <w:p w14:paraId="4FBDCA45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Coordinamento dei contenuti informativi relativi agli adempimenti ministeriali e regionali. </w:t>
      </w:r>
    </w:p>
    <w:p w14:paraId="3F059A06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Osservatorio epidemiologico regionale: raccolta e produzione di dati per le piattaforme di sorveglianza epidemiologica nazionale. </w:t>
      </w:r>
    </w:p>
    <w:p w14:paraId="54F2B3AB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Registri di patologie. Registro Tumori Regionale e Registro di Mortalità</w:t>
      </w:r>
    </w:p>
    <w:p w14:paraId="7DE378A4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Attività di ricerca a supporto della programmazione socio-sanitaria regionale e nell’ambito di attività di collaborazione con Enti pubblici e privati</w:t>
      </w:r>
    </w:p>
    <w:p w14:paraId="1A981D66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Assistenza su applicativi e dispositivi informatici. Sicurezza dei sistemi informativi.</w:t>
      </w:r>
    </w:p>
    <w:p w14:paraId="58AC823B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Adempimenti LEA e altri adempimenti nazionali e regionali nelle materie di competenza.</w:t>
      </w:r>
    </w:p>
    <w:p w14:paraId="6D0D09C4" w14:textId="77777777" w:rsidR="00A14513" w:rsidRPr="007A7795" w:rsidRDefault="00A14513" w:rsidP="00A14513">
      <w:pPr>
        <w:rPr>
          <w:rFonts w:ascii="Times New Roman" w:hAnsi="Times New Roman" w:cs="Times New Roman"/>
          <w:color w:val="FF0000"/>
        </w:rPr>
      </w:pPr>
    </w:p>
    <w:p w14:paraId="283C9978" w14:textId="77777777" w:rsidR="00A14513" w:rsidRPr="007A7795" w:rsidRDefault="00A14513" w:rsidP="007A7795">
      <w:pPr>
        <w:jc w:val="both"/>
        <w:rPr>
          <w:rStyle w:val="FontStyle12"/>
          <w:b/>
          <w:sz w:val="22"/>
          <w:szCs w:val="22"/>
          <w:u w:val="single"/>
        </w:rPr>
      </w:pPr>
      <w:r w:rsidRPr="007A7795">
        <w:rPr>
          <w:rStyle w:val="FontStyle12"/>
          <w:b/>
          <w:sz w:val="22"/>
          <w:szCs w:val="22"/>
          <w:u w:val="single"/>
        </w:rPr>
        <w:t xml:space="preserve">Settore: Assistenza ospedaliera, emergenza-urgenza e ricerca </w:t>
      </w:r>
    </w:p>
    <w:p w14:paraId="37D84E69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Definizione assetto organizzativo rete ospedaliera pubblica e privata accreditata; requisiti e standard di riferimento</w:t>
      </w:r>
    </w:p>
    <w:p w14:paraId="0044E65E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Verifica offerta sanitaria ospedaliera regionale in termini di appropriatezza, performance, mobilità attiva e passiva. Liste di attesa ricoveri.</w:t>
      </w:r>
    </w:p>
    <w:p w14:paraId="6E465DEA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Riabilitazione e lungodegenza post acuzie. </w:t>
      </w:r>
    </w:p>
    <w:p w14:paraId="1C8DDBF0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Coordinamento Comitato di Verifica delle Prestazioni Sanitarie (CVPS)</w:t>
      </w:r>
    </w:p>
    <w:p w14:paraId="093B46B4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Verifica congruità reti di disciplina</w:t>
      </w:r>
    </w:p>
    <w:p w14:paraId="421429ED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Reti cliniche tempo-dipendenti e relativi PDTA</w:t>
      </w:r>
    </w:p>
    <w:p w14:paraId="1A994E54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Rete Trasfusionale </w:t>
      </w:r>
    </w:p>
    <w:p w14:paraId="065EAF35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Rete trapiantologica: procurement, impianto, biobanche</w:t>
      </w:r>
    </w:p>
    <w:p w14:paraId="79742AB0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Supporto ai contenuti per i flussi informativi ospedalieri </w:t>
      </w:r>
    </w:p>
    <w:p w14:paraId="7896A91B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lastRenderedPageBreak/>
        <w:t>Monitoraggio e analisi contenuti flussi informativi ospedalieri</w:t>
      </w:r>
    </w:p>
    <w:p w14:paraId="46E264B9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Rete dell’emergenza-urgenza (Pronto Soccorso, Dipartimenti di Emergenza-Urgenza Accettazione di I e II livello).</w:t>
      </w:r>
    </w:p>
    <w:p w14:paraId="763EE70B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Adempimenti LEA e altri adempimenti nazionali e regionali nelle materie di competenza.</w:t>
      </w:r>
    </w:p>
    <w:p w14:paraId="66328907" w14:textId="77777777" w:rsidR="00A14513" w:rsidRPr="007A7795" w:rsidRDefault="00A14513" w:rsidP="00A14513">
      <w:pPr>
        <w:rPr>
          <w:rFonts w:ascii="Times New Roman" w:hAnsi="Times New Roman" w:cs="Times New Roman"/>
          <w:color w:val="FF0000"/>
        </w:rPr>
      </w:pPr>
    </w:p>
    <w:p w14:paraId="3BBFD172" w14:textId="77777777" w:rsidR="00A14513" w:rsidRPr="007A7795" w:rsidRDefault="00A14513" w:rsidP="007A7795">
      <w:pPr>
        <w:jc w:val="both"/>
        <w:rPr>
          <w:rStyle w:val="FontStyle12"/>
          <w:b/>
          <w:sz w:val="22"/>
          <w:szCs w:val="22"/>
          <w:u w:val="single"/>
        </w:rPr>
      </w:pPr>
      <w:r w:rsidRPr="007A7795">
        <w:rPr>
          <w:rStyle w:val="FontStyle12"/>
          <w:b/>
          <w:sz w:val="22"/>
          <w:szCs w:val="22"/>
          <w:u w:val="single"/>
        </w:rPr>
        <w:t>Settore: Territorio ed integrazione socio sanitaria</w:t>
      </w:r>
    </w:p>
    <w:p w14:paraId="48D2DE93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Cure primarie e continuità assistenziale. </w:t>
      </w:r>
    </w:p>
    <w:p w14:paraId="5CB19746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Assistenza specialistica. </w:t>
      </w:r>
    </w:p>
    <w:p w14:paraId="24054B86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Consultori familiari. </w:t>
      </w:r>
    </w:p>
    <w:p w14:paraId="7A2F0727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Cure palliative e hospice.</w:t>
      </w:r>
    </w:p>
    <w:p w14:paraId="79325B33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Malattie rare. </w:t>
      </w:r>
    </w:p>
    <w:p w14:paraId="1BE1B36F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Assistenza sanitaria e socio-sanitaria nelle strutture residenziali sanitarie e sociosanitarie per anziani e disabilità (psichiche, fisiche e </w:t>
      </w:r>
      <w:proofErr w:type="spellStart"/>
      <w:r w:rsidRPr="007A7795">
        <w:rPr>
          <w:rStyle w:val="FontStyle12"/>
          <w:sz w:val="22"/>
          <w:szCs w:val="22"/>
        </w:rPr>
        <w:t>plurisensoriali</w:t>
      </w:r>
      <w:proofErr w:type="spellEnd"/>
      <w:r w:rsidRPr="007A7795">
        <w:rPr>
          <w:rStyle w:val="FontStyle12"/>
          <w:sz w:val="22"/>
          <w:szCs w:val="22"/>
        </w:rPr>
        <w:t>).</w:t>
      </w:r>
    </w:p>
    <w:p w14:paraId="3CAD5F33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Assistenza riabilitativa fisica intensiva ed estensiva. </w:t>
      </w:r>
    </w:p>
    <w:p w14:paraId="6229F201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Assistenza sanitaria e socio-sanitaria per le dipendenze patologiche.</w:t>
      </w:r>
    </w:p>
    <w:p w14:paraId="7E35FF54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Governo dell’erogazione delle prestazioni specialistiche ambulatoriali rispetto ai tempi di attesa. </w:t>
      </w:r>
    </w:p>
    <w:p w14:paraId="78913A17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Percorso nascita. </w:t>
      </w:r>
    </w:p>
    <w:p w14:paraId="766E78DE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Governo clinico. Rischio sanitario e sicurezza del paziente. </w:t>
      </w:r>
    </w:p>
    <w:p w14:paraId="071FC7E0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Salute degli immigrati. </w:t>
      </w:r>
    </w:p>
    <w:p w14:paraId="69438D27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Coordinamento OTA. </w:t>
      </w:r>
    </w:p>
    <w:p w14:paraId="5F8AF485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Organizzazione dei processi e dei percorsi di integrazione sociale e sanitaria. </w:t>
      </w:r>
    </w:p>
    <w:p w14:paraId="70D38CF9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Monitoraggio e coordinamento delle attività di integrazione socio-sanitaria.</w:t>
      </w:r>
    </w:p>
    <w:p w14:paraId="7ED4138E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Supporto alla programmazione integrata socio-sanitaria a livello aziendale e di distretto/ambito sociale. </w:t>
      </w:r>
    </w:p>
    <w:p w14:paraId="28FF2C64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Definizione della quantificazione dell'offerta dei servizi residenziali e semiresidenziali sociali e sanitari. </w:t>
      </w:r>
    </w:p>
    <w:p w14:paraId="6056D144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Osservatorio Regionale delle Politiche Sociali (ORPS). </w:t>
      </w:r>
    </w:p>
    <w:p w14:paraId="7DA70ED7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Adempimenti LEA e altri adempimenti nazionali e regionali nelle materie di competenza.</w:t>
      </w:r>
    </w:p>
    <w:p w14:paraId="0CF158F3" w14:textId="77777777" w:rsidR="00A14513" w:rsidRPr="007A7795" w:rsidRDefault="00A14513" w:rsidP="007A7795">
      <w:pPr>
        <w:rPr>
          <w:color w:val="FF0000"/>
        </w:rPr>
      </w:pPr>
    </w:p>
    <w:p w14:paraId="21EE2C15" w14:textId="77777777" w:rsidR="00A14513" w:rsidRPr="007A7795" w:rsidRDefault="00A14513" w:rsidP="007A7795">
      <w:pPr>
        <w:jc w:val="both"/>
        <w:rPr>
          <w:rStyle w:val="FontStyle12"/>
          <w:b/>
          <w:sz w:val="22"/>
          <w:szCs w:val="22"/>
          <w:u w:val="single"/>
        </w:rPr>
      </w:pPr>
      <w:r w:rsidRPr="007A7795">
        <w:rPr>
          <w:rStyle w:val="FontStyle12"/>
          <w:b/>
          <w:sz w:val="22"/>
          <w:szCs w:val="22"/>
          <w:u w:val="single"/>
        </w:rPr>
        <w:t xml:space="preserve">Settore: Assistenza farmaceutica, protesica, dispositivi medici </w:t>
      </w:r>
    </w:p>
    <w:p w14:paraId="491DF83F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Assistenza farmaceutica territoriale ed ospedaliera. </w:t>
      </w:r>
    </w:p>
    <w:p w14:paraId="1DC961D4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Farmacie. </w:t>
      </w:r>
    </w:p>
    <w:p w14:paraId="51BACCCB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Farmacovigilanza e sperimentazione clinica dei farmaci. </w:t>
      </w:r>
    </w:p>
    <w:p w14:paraId="064F6C3B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Assistenza integrativa regionale. </w:t>
      </w:r>
    </w:p>
    <w:p w14:paraId="2FF7B6CD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Dispositivi medici.</w:t>
      </w:r>
    </w:p>
    <w:p w14:paraId="4D2CA61F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Assistenza Protesica. </w:t>
      </w:r>
    </w:p>
    <w:p w14:paraId="44EDD053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Prontuario terapeutico regionale. </w:t>
      </w:r>
    </w:p>
    <w:p w14:paraId="725DCA8E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Monitoraggio spesa farmaceutica, dispositivi medici e protesica. </w:t>
      </w:r>
    </w:p>
    <w:p w14:paraId="13309197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Adempimenti LEA e altri adempimenti nazionali e regionali nelle materie di competenza.</w:t>
      </w:r>
    </w:p>
    <w:p w14:paraId="494E05D4" w14:textId="77777777" w:rsidR="00A14513" w:rsidRPr="007A7795" w:rsidRDefault="00A14513" w:rsidP="007A7795">
      <w:pPr>
        <w:rPr>
          <w:color w:val="FF0000"/>
        </w:rPr>
      </w:pPr>
    </w:p>
    <w:p w14:paraId="514263CA" w14:textId="77777777" w:rsidR="00A14513" w:rsidRPr="007A7795" w:rsidRDefault="00A14513" w:rsidP="007A7795">
      <w:pPr>
        <w:jc w:val="both"/>
        <w:rPr>
          <w:rStyle w:val="FontStyle12"/>
          <w:b/>
          <w:sz w:val="22"/>
          <w:szCs w:val="22"/>
          <w:u w:val="single"/>
        </w:rPr>
      </w:pPr>
      <w:r w:rsidRPr="007A7795">
        <w:rPr>
          <w:rStyle w:val="FontStyle12"/>
          <w:b/>
          <w:sz w:val="22"/>
          <w:szCs w:val="22"/>
          <w:u w:val="single"/>
        </w:rPr>
        <w:t xml:space="preserve">Settore: Prevenzione e promozione della salute nei luoghi di vita e di lavoro </w:t>
      </w:r>
    </w:p>
    <w:p w14:paraId="7AFB2B0C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Igiene Pubblica e Sicurezza negli Ambienti di Vita</w:t>
      </w:r>
    </w:p>
    <w:p w14:paraId="10AF766E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Tutela sanitaria della popolazione derivante da Rischi ambientali, compresa quella relativa alle Radiazioni ionizzanti e non ionizzanti</w:t>
      </w:r>
    </w:p>
    <w:p w14:paraId="365F123C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Salute e Sicurezza nei Luoghi di lavoro e Prevenzione del Rischio Chimico.</w:t>
      </w:r>
    </w:p>
    <w:p w14:paraId="784B4B14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Malattie infettive, programmi vaccinali</w:t>
      </w:r>
    </w:p>
    <w:p w14:paraId="7B8C42CF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Promozione della Salute e Stili di vita sani</w:t>
      </w:r>
    </w:p>
    <w:p w14:paraId="4EEC0BD7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Medicina Legale e Polizia mortuaria</w:t>
      </w:r>
    </w:p>
    <w:p w14:paraId="508F0EB2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Medicina dello Sport</w:t>
      </w:r>
    </w:p>
    <w:p w14:paraId="1B33A978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Preparazione alla gestione Emergenze in sanità pubblica </w:t>
      </w:r>
    </w:p>
    <w:p w14:paraId="27F91C2A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Screening oncologici</w:t>
      </w:r>
    </w:p>
    <w:p w14:paraId="1ABA3A3F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Coordinamento del Piano Regionale della Prevenzione</w:t>
      </w:r>
    </w:p>
    <w:p w14:paraId="75594532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Adempimenti LEA e altri adempimenti nazionali e regionali nelle materie di competenza.</w:t>
      </w:r>
    </w:p>
    <w:p w14:paraId="7CC085D9" w14:textId="77777777" w:rsidR="00A14513" w:rsidRPr="007A7795" w:rsidRDefault="00A14513" w:rsidP="007A7795">
      <w:pPr>
        <w:rPr>
          <w:color w:val="FF0000"/>
        </w:rPr>
      </w:pPr>
    </w:p>
    <w:p w14:paraId="00DBCB40" w14:textId="77777777" w:rsidR="00A14513" w:rsidRPr="007A7795" w:rsidRDefault="00A14513" w:rsidP="007A7795">
      <w:pPr>
        <w:jc w:val="both"/>
        <w:rPr>
          <w:rStyle w:val="FontStyle12"/>
          <w:b/>
          <w:sz w:val="22"/>
          <w:szCs w:val="22"/>
          <w:u w:val="single"/>
        </w:rPr>
      </w:pPr>
      <w:r w:rsidRPr="007A7795">
        <w:rPr>
          <w:rStyle w:val="FontStyle12"/>
          <w:b/>
          <w:sz w:val="22"/>
          <w:szCs w:val="22"/>
          <w:u w:val="single"/>
        </w:rPr>
        <w:lastRenderedPageBreak/>
        <w:t xml:space="preserve">Settore: Prevenzione veterinaria e sicurezza alimentare </w:t>
      </w:r>
    </w:p>
    <w:p w14:paraId="0B10FBA5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Sanità e benessere degli animali.</w:t>
      </w:r>
    </w:p>
    <w:p w14:paraId="25928E8F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Profilassi delle malattie infettive e diffusive delle popolazioni animali.</w:t>
      </w:r>
    </w:p>
    <w:p w14:paraId="0273C9F9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Sorveglianza sanitaria degli allevamenti e dell’utilizzo del farmaco veterinario.</w:t>
      </w:r>
    </w:p>
    <w:p w14:paraId="2F181243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Emergenze zoosanitarie ed indennizzi agli allevatori.</w:t>
      </w:r>
    </w:p>
    <w:p w14:paraId="49816A66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Animali esotici</w:t>
      </w:r>
    </w:p>
    <w:p w14:paraId="04DB99EC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Controlli sanitari relativi ai sottoprodotti di origine animale</w:t>
      </w:r>
    </w:p>
    <w:p w14:paraId="77AC99D8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Prevenzione del randagismo e norme in materia degli animali d’affezione.</w:t>
      </w:r>
    </w:p>
    <w:p w14:paraId="3396ECA1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Anagrafi delle popolazioni animali e gestione del sistema informativo</w:t>
      </w:r>
    </w:p>
    <w:p w14:paraId="4000AB63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Igiene e sicurezza degli alimenti</w:t>
      </w:r>
    </w:p>
    <w:p w14:paraId="74BBD911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Procedure di riconoscimento delle industrie alimentari e mangimistiche.</w:t>
      </w:r>
    </w:p>
    <w:p w14:paraId="658354CA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Emergenze in sanità pubblica veterinaria</w:t>
      </w:r>
    </w:p>
    <w:p w14:paraId="7A58ADB5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Adempimenti LEA e altri adempimenti nazionali e regionali nelle materie di competenza</w:t>
      </w:r>
    </w:p>
    <w:p w14:paraId="370D0146" w14:textId="77777777" w:rsidR="00A14513" w:rsidRPr="007A7795" w:rsidRDefault="00A14513" w:rsidP="007A7795">
      <w:pPr>
        <w:rPr>
          <w:color w:val="FF0000"/>
        </w:rPr>
      </w:pPr>
    </w:p>
    <w:p w14:paraId="08F6B279" w14:textId="77777777" w:rsidR="00A14513" w:rsidRPr="007A7795" w:rsidRDefault="00A14513" w:rsidP="007A7795">
      <w:pPr>
        <w:jc w:val="both"/>
        <w:rPr>
          <w:rStyle w:val="FontStyle12"/>
          <w:b/>
          <w:sz w:val="22"/>
          <w:szCs w:val="22"/>
          <w:u w:val="single"/>
        </w:rPr>
      </w:pPr>
      <w:r w:rsidRPr="007A7795">
        <w:rPr>
          <w:rStyle w:val="FontStyle12"/>
          <w:b/>
          <w:sz w:val="22"/>
          <w:szCs w:val="22"/>
          <w:u w:val="single"/>
        </w:rPr>
        <w:t>Settore: Sistema integrato delle emergenze</w:t>
      </w:r>
    </w:p>
    <w:p w14:paraId="7B298FD7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Coordinamento della Centrale Unica di Risposta (CUR 112 NUE);</w:t>
      </w:r>
    </w:p>
    <w:p w14:paraId="04801AAD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Funzionalità delle elisuperfici destinate alla gestione delle emergenze sanitarie e di protezione civile in raccordo con le competenti strutture regionali;</w:t>
      </w:r>
    </w:p>
    <w:p w14:paraId="418C2428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Attività di raccordo tra le Centrali operative sanitarie 118 e le strutture operative regionali di Protezione Civile;</w:t>
      </w:r>
    </w:p>
    <w:p w14:paraId="3853ED0C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Attività di raccordo con il Servizio Protezione Civile per la gestione organizzativa ed operativa delle strutture sanitarie emergenziali e gli Organismi internazionali di Protezione civile;</w:t>
      </w:r>
    </w:p>
    <w:p w14:paraId="06B9A906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Acquisizione di beni e servizi riferiti al funzionamento tecnologico della Centrale Unica di Risposta (CUR 112 NUE) e delle strutture operative di Protezione Civile;</w:t>
      </w:r>
    </w:p>
    <w:p w14:paraId="1B95FF7B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Funzionamento dei sistemi telematici e tecnologici afferenti alle reti trasmissive di emergenza sanitaria 118;</w:t>
      </w:r>
    </w:p>
    <w:p w14:paraId="6476E347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Gestione delle attività riguardanti i settori informatici, tecnologici e trasmissivi interconnessi e condivisi tra le strutture di emergenza sanitaria 118 e di protezione civile;</w:t>
      </w:r>
    </w:p>
    <w:p w14:paraId="3FFA1394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Accreditamenti centri di formazione e gestione delle attività connesse all’uso dei sistemi DAE (Defibrillatori semiautomatici);</w:t>
      </w:r>
    </w:p>
    <w:p w14:paraId="77CDE71C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Sistema dei trasporti sanitari;</w:t>
      </w:r>
    </w:p>
    <w:p w14:paraId="31280EEA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Centrali Operative afferenti al numero unico europeo a valenza sociale e di continuità assistenziale 116117;</w:t>
      </w:r>
    </w:p>
    <w:p w14:paraId="68D0F6A8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Sistema di emergenza sanitaria territoriale (POTES);</w:t>
      </w:r>
    </w:p>
    <w:p w14:paraId="33936818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Attuazione della L.R. n.39/2020 sulla diffusione delle tecniche salvavita e disostruzione in età pediatrica e di rianimazione cardiopolmonare, nonché delle tecniche di primo soccorso.</w:t>
      </w:r>
    </w:p>
    <w:p w14:paraId="390D2B20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Adempimenti LEA e altri adempimenti nazionali e regionali nelle materie di competenza.</w:t>
      </w:r>
    </w:p>
    <w:p w14:paraId="493C2C43" w14:textId="77777777" w:rsidR="00A14513" w:rsidRPr="007A7795" w:rsidRDefault="00A14513" w:rsidP="00A14513">
      <w:pPr>
        <w:rPr>
          <w:color w:val="FF0000"/>
        </w:rPr>
      </w:pPr>
    </w:p>
    <w:p w14:paraId="247AE4AD" w14:textId="77777777" w:rsidR="00A14513" w:rsidRPr="007A7795" w:rsidRDefault="00A14513" w:rsidP="007A7795">
      <w:pPr>
        <w:jc w:val="both"/>
        <w:rPr>
          <w:rStyle w:val="FontStyle12"/>
          <w:b/>
          <w:sz w:val="22"/>
          <w:szCs w:val="22"/>
          <w:u w:val="single"/>
        </w:rPr>
      </w:pPr>
      <w:r w:rsidRPr="007A7795">
        <w:rPr>
          <w:rStyle w:val="FontStyle12"/>
          <w:b/>
          <w:sz w:val="22"/>
          <w:szCs w:val="22"/>
          <w:u w:val="single"/>
        </w:rPr>
        <w:t>Settore: HTA, tecnologie biomediche e sistemi informativi</w:t>
      </w:r>
    </w:p>
    <w:p w14:paraId="19A38EA0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Supporto tecnico scientifico alle attività di analisi del patrimonio tecnologico installato tramite l’impiego di metodologie di HTA. </w:t>
      </w:r>
    </w:p>
    <w:p w14:paraId="32A3586F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Valutazioni sull’introduzione di tecnologie innovative e sull’obsolescenza di quelle in uso presso le strutture sanitarie.  </w:t>
      </w:r>
    </w:p>
    <w:p w14:paraId="3F8458AA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Coordinamento della rete regionale di HTA al fine della valutazione e definizione del fabbisogno tecnologico regionale. </w:t>
      </w:r>
    </w:p>
    <w:p w14:paraId="534A5064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Redazione del piano pluriennale di rinnovamento delle tecnologie biomediche con particolare riferimento alle grandi tecnologie e a quelle innovative.</w:t>
      </w:r>
    </w:p>
    <w:p w14:paraId="64FAF5FA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Valutazione di progetti di investimento tecnologico sotto il profilo della congruità con la programmazione regionale, della conformità degli aspetti tecnico sanitari e di appropriatezza organizzativa a sostegno delle azioni di riordino del servizio sanitario regionale.</w:t>
      </w:r>
    </w:p>
    <w:p w14:paraId="0ABB5602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Supporto alle attività di digitalizzazione in ambito sanitario mirate all’implementazione di tecnologie innovative nel campo dell’Information and </w:t>
      </w:r>
      <w:proofErr w:type="spellStart"/>
      <w:r w:rsidRPr="007A7795">
        <w:rPr>
          <w:rStyle w:val="FontStyle12"/>
          <w:sz w:val="22"/>
          <w:szCs w:val="22"/>
        </w:rPr>
        <w:t>Communication</w:t>
      </w:r>
      <w:proofErr w:type="spellEnd"/>
      <w:r w:rsidRPr="007A7795">
        <w:rPr>
          <w:rStyle w:val="FontStyle12"/>
          <w:sz w:val="22"/>
          <w:szCs w:val="22"/>
        </w:rPr>
        <w:t xml:space="preserve"> Technologies (ICT) con particolare riferimento allo sviluppo di servizi di telemedicina ed eHealth.</w:t>
      </w:r>
    </w:p>
    <w:p w14:paraId="4FDF4A91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 xml:space="preserve">Sistemi informativi sanitari. </w:t>
      </w:r>
    </w:p>
    <w:p w14:paraId="443C6D39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lastRenderedPageBreak/>
        <w:t>Supporto tecnico scientifico alla SUAM nella predisposizione dei capitolati tecnici per l'acquisizione, gestione e manutenzione dei dispositivi medici.</w:t>
      </w:r>
    </w:p>
    <w:p w14:paraId="5D3707A9" w14:textId="77777777" w:rsidR="00A14513" w:rsidRPr="007A7795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Supporto tecnico-scientifico alle iniziative della Agenzia Regionale Sanitaria per la partecipazione a progetti europei o nella costruzione di forme di collaborazione con il mondo scientifico.</w:t>
      </w:r>
    </w:p>
    <w:p w14:paraId="232DC413" w14:textId="77777777" w:rsidR="00A14513" w:rsidRPr="00C23D5B" w:rsidRDefault="00A14513" w:rsidP="00A14513">
      <w:pPr>
        <w:pStyle w:val="Style7"/>
        <w:widowControl/>
        <w:spacing w:line="240" w:lineRule="auto"/>
        <w:jc w:val="both"/>
        <w:rPr>
          <w:rStyle w:val="FontStyle12"/>
          <w:sz w:val="22"/>
          <w:szCs w:val="22"/>
        </w:rPr>
      </w:pPr>
      <w:r w:rsidRPr="007A7795">
        <w:rPr>
          <w:rStyle w:val="FontStyle12"/>
          <w:sz w:val="22"/>
          <w:szCs w:val="22"/>
        </w:rPr>
        <w:t>Adempimenti LEA e altri adempimenti nazionali e regionali nelle materie di competenza</w:t>
      </w:r>
    </w:p>
    <w:p w14:paraId="2DC7D309" w14:textId="77777777" w:rsidR="00C03F66" w:rsidRDefault="00C03F66" w:rsidP="00CB251C"/>
    <w:sectPr w:rsidR="00C03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66"/>
    <w:rsid w:val="00194743"/>
    <w:rsid w:val="00237BEC"/>
    <w:rsid w:val="004F7FF5"/>
    <w:rsid w:val="00532061"/>
    <w:rsid w:val="006D3AB7"/>
    <w:rsid w:val="007A6914"/>
    <w:rsid w:val="007A7795"/>
    <w:rsid w:val="009B7773"/>
    <w:rsid w:val="009F732B"/>
    <w:rsid w:val="00A14513"/>
    <w:rsid w:val="00BE3580"/>
    <w:rsid w:val="00C03F66"/>
    <w:rsid w:val="00CB251C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34CE"/>
  <w15:chartTrackingRefBased/>
  <w15:docId w15:val="{8124746B-8093-407A-89D4-6400558F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7">
    <w:name w:val="Style7"/>
    <w:basedOn w:val="Normale"/>
    <w:uiPriority w:val="99"/>
    <w:rsid w:val="00C03F66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C03F66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e"/>
    <w:uiPriority w:val="99"/>
    <w:rsid w:val="00C0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94743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74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Aletti</dc:creator>
  <cp:keywords/>
  <dc:description/>
  <cp:lastModifiedBy>maurizio meduri</cp:lastModifiedBy>
  <cp:revision>2</cp:revision>
  <dcterms:created xsi:type="dcterms:W3CDTF">2022-02-16T17:00:00Z</dcterms:created>
  <dcterms:modified xsi:type="dcterms:W3CDTF">2022-02-16T17:00:00Z</dcterms:modified>
</cp:coreProperties>
</file>